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8642E" w14:textId="1EE6FA84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DC0A6B">
        <w:t>10</w:t>
      </w:r>
      <w:r w:rsidR="005039F3">
        <w:t>1</w:t>
      </w:r>
      <w:r w:rsidRPr="00CE0424">
        <w:tab/>
      </w:r>
      <w:r w:rsidRPr="00CE0424">
        <w:rPr>
          <w:sz w:val="32"/>
          <w:szCs w:val="32"/>
        </w:rPr>
        <w:t>Tdoc R2-</w:t>
      </w:r>
      <w:r w:rsidR="004C1A9D" w:rsidRPr="005C7B09">
        <w:rPr>
          <w:sz w:val="32"/>
          <w:szCs w:val="32"/>
        </w:rPr>
        <w:t>1</w:t>
      </w:r>
      <w:r w:rsidR="00CF3EC6" w:rsidRPr="005C7B09">
        <w:rPr>
          <w:sz w:val="32"/>
          <w:szCs w:val="32"/>
        </w:rPr>
        <w:t>8</w:t>
      </w:r>
      <w:r w:rsidR="005C7B09">
        <w:rPr>
          <w:sz w:val="32"/>
          <w:szCs w:val="32"/>
        </w:rPr>
        <w:t>03609</w:t>
      </w:r>
      <w:bookmarkStart w:id="0" w:name="_GoBack"/>
      <w:bookmarkEnd w:id="0"/>
    </w:p>
    <w:p w14:paraId="03CFD0E7" w14:textId="2EBCEC91" w:rsidR="00745D89" w:rsidRDefault="005039F3" w:rsidP="00745D89">
      <w:pPr>
        <w:pStyle w:val="3GPPHeader"/>
      </w:pPr>
      <w:r w:rsidRPr="007310BF">
        <w:t>Athens, Greece, 26 February</w:t>
      </w:r>
      <w:r w:rsidR="009801DA">
        <w:t xml:space="preserve"> </w:t>
      </w:r>
      <w:r w:rsidRPr="007310BF">
        <w:t>-</w:t>
      </w:r>
      <w:r w:rsidR="009801DA">
        <w:t xml:space="preserve"> </w:t>
      </w:r>
      <w:r w:rsidRPr="007310BF">
        <w:t>2 March 201</w:t>
      </w:r>
      <w:r>
        <w:t>8</w:t>
      </w:r>
    </w:p>
    <w:p w14:paraId="0507AFA4" w14:textId="7F5E66B5" w:rsidR="00E90E49" w:rsidRPr="00D9752A" w:rsidRDefault="00E90E49" w:rsidP="00311702">
      <w:pPr>
        <w:pStyle w:val="3GPPHeader"/>
        <w:rPr>
          <w:sz w:val="22"/>
          <w:szCs w:val="22"/>
        </w:rPr>
      </w:pPr>
      <w:r w:rsidRPr="005C7B09">
        <w:rPr>
          <w:sz w:val="22"/>
          <w:szCs w:val="22"/>
        </w:rPr>
        <w:t>Agenda Item:</w:t>
      </w:r>
      <w:r w:rsidRPr="005C7B09">
        <w:rPr>
          <w:sz w:val="22"/>
          <w:szCs w:val="22"/>
        </w:rPr>
        <w:tab/>
      </w:r>
      <w:r w:rsidR="0004798D" w:rsidRPr="005C7B09">
        <w:rPr>
          <w:sz w:val="22"/>
          <w:szCs w:val="22"/>
        </w:rPr>
        <w:t>9.9.2</w:t>
      </w:r>
    </w:p>
    <w:p w14:paraId="12E9E0B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15EF140" w14:textId="129711A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801DA">
        <w:rPr>
          <w:sz w:val="22"/>
          <w:szCs w:val="22"/>
        </w:rPr>
        <w:t>Fallback to long CQI reporting period</w:t>
      </w:r>
    </w:p>
    <w:p w14:paraId="2259E823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04798D">
        <w:rPr>
          <w:sz w:val="22"/>
          <w:szCs w:val="22"/>
        </w:rPr>
        <w:t>Discussion, Decision</w:t>
      </w:r>
    </w:p>
    <w:p w14:paraId="1C429B3D" w14:textId="77777777" w:rsidR="00C24345" w:rsidRDefault="00E90E49" w:rsidP="00A2052C">
      <w:pPr>
        <w:pStyle w:val="Heading1"/>
      </w:pPr>
      <w:r w:rsidRPr="00CE0424">
        <w:t>Introduction</w:t>
      </w:r>
    </w:p>
    <w:p w14:paraId="424A33D3" w14:textId="5D4710B2" w:rsidR="00A2052C" w:rsidRDefault="007E14F7" w:rsidP="00A2052C">
      <w:r>
        <w:t>In Reno RAN2 agreed to have a short CQI reporting period after SCell activation but it is FFS how long this shorter periodicity is applied:</w:t>
      </w:r>
    </w:p>
    <w:p w14:paraId="22AA25A0" w14:textId="77777777" w:rsidR="007E14F7" w:rsidRDefault="007E14F7" w:rsidP="007E14F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7472263E" w14:textId="77777777" w:rsidR="007E14F7" w:rsidRDefault="007E14F7" w:rsidP="007E14F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>
        <w:rPr>
          <w:lang w:val="en-US"/>
        </w:rPr>
        <w:t>The short period of the CQI reporting resource could be only available upon receiving the SCell activation command. FFS when the UE fall back to longer periodicity.</w:t>
      </w:r>
    </w:p>
    <w:p w14:paraId="5A32156D" w14:textId="77777777" w:rsidR="007E14F7" w:rsidRDefault="007E14F7" w:rsidP="007E14F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E6CEF02" w14:textId="77777777" w:rsidR="007E14F7" w:rsidRDefault="007E14F7" w:rsidP="007E14F7">
      <w:pPr>
        <w:pStyle w:val="Doc-text2"/>
      </w:pPr>
    </w:p>
    <w:p w14:paraId="33B2F620" w14:textId="04825A02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7EDFCCF7" w14:textId="5ED63FCA" w:rsidR="007A1898" w:rsidRDefault="007E14F7" w:rsidP="00696B65">
      <w:r>
        <w:t>If the UE is configured to apply the short CQI reporting periodicity for SCell activation RAN2 needs to decide when the UE falls back to the longer periodicity.</w:t>
      </w:r>
      <w:r w:rsidR="007A1898">
        <w:t xml:space="preserve"> We see two alternatives:</w:t>
      </w:r>
    </w:p>
    <w:p w14:paraId="70BBF474" w14:textId="7B048CAA" w:rsidR="007A1898" w:rsidRPr="007A1898" w:rsidRDefault="007E14F7" w:rsidP="007A1898">
      <w:pPr>
        <w:pStyle w:val="ListParagraph"/>
        <w:numPr>
          <w:ilvl w:val="0"/>
          <w:numId w:val="37"/>
        </w:numPr>
      </w:pPr>
      <w:r>
        <w:t xml:space="preserve">the UE uses the shorter periodicity </w:t>
      </w:r>
      <w:r w:rsidR="009801DA" w:rsidRPr="009801DA">
        <w:rPr>
          <w:b/>
        </w:rPr>
        <w:t xml:space="preserve">a fixed time (e.g. </w:t>
      </w:r>
      <w:r w:rsidR="009801DA">
        <w:rPr>
          <w:b/>
        </w:rPr>
        <w:t>max activation time (</w:t>
      </w:r>
      <w:r w:rsidR="009801DA" w:rsidRPr="009801DA">
        <w:rPr>
          <w:b/>
        </w:rPr>
        <w:t>24/</w:t>
      </w:r>
      <w:r w:rsidR="007A1898" w:rsidRPr="009801DA">
        <w:rPr>
          <w:b/>
        </w:rPr>
        <w:t>34</w:t>
      </w:r>
      <w:r w:rsidR="007A1898">
        <w:rPr>
          <w:b/>
        </w:rPr>
        <w:t xml:space="preserve"> ms)</w:t>
      </w:r>
      <w:r w:rsidR="009801DA">
        <w:rPr>
          <w:b/>
        </w:rPr>
        <w:t>)</w:t>
      </w:r>
      <w:r w:rsidRPr="007A1898">
        <w:t>.</w:t>
      </w:r>
    </w:p>
    <w:p w14:paraId="48C0A2D8" w14:textId="77777777" w:rsidR="007A1898" w:rsidRDefault="007E14F7" w:rsidP="007A1898">
      <w:pPr>
        <w:pStyle w:val="ListParagraph"/>
        <w:numPr>
          <w:ilvl w:val="0"/>
          <w:numId w:val="37"/>
        </w:numPr>
      </w:pPr>
      <w:r w:rsidRPr="007A1898">
        <w:t xml:space="preserve">the UE </w:t>
      </w:r>
      <w:r w:rsidR="007A1898" w:rsidRPr="007A1898">
        <w:t xml:space="preserve">uses </w:t>
      </w:r>
      <w:r w:rsidRPr="007A1898">
        <w:t>the short</w:t>
      </w:r>
      <w:r w:rsidR="007A1898" w:rsidRPr="007A1898">
        <w:t>er</w:t>
      </w:r>
      <w:r w:rsidRPr="007A1898">
        <w:t xml:space="preserve"> </w:t>
      </w:r>
      <w:r w:rsidR="007A1898" w:rsidRPr="007A1898">
        <w:t xml:space="preserve">periodicity </w:t>
      </w:r>
      <w:r w:rsidRPr="009801DA">
        <w:rPr>
          <w:b/>
        </w:rPr>
        <w:t>until the UE</w:t>
      </w:r>
      <w:r w:rsidRPr="007A1898">
        <w:rPr>
          <w:b/>
        </w:rPr>
        <w:t xml:space="preserve"> gets scheduled</w:t>
      </w:r>
      <w:r w:rsidR="007A1898" w:rsidRPr="007A1898">
        <w:t>.</w:t>
      </w:r>
    </w:p>
    <w:p w14:paraId="3991CA83" w14:textId="2CE9F1E5" w:rsidR="007E14F7" w:rsidRDefault="009801DA" w:rsidP="00696B65">
      <w:r>
        <w:t xml:space="preserve">Alternative </w:t>
      </w:r>
      <w:r w:rsidR="007A1898">
        <w:t xml:space="preserve">B </w:t>
      </w:r>
      <w:r w:rsidR="007A1898" w:rsidRPr="007A1898">
        <w:t>will cause less CQI reporting if the eNB schedules the UE quickly</w:t>
      </w:r>
      <w:r w:rsidR="007A1898">
        <w:t xml:space="preserve">, while more CQI reporting otherwise. One may discuss what is best from CQI-reporting perspective, but probably </w:t>
      </w:r>
      <w:r>
        <w:t xml:space="preserve">the amount of </w:t>
      </w:r>
      <w:r w:rsidR="007A1898">
        <w:t xml:space="preserve">CQI reporting </w:t>
      </w:r>
      <w:r>
        <w:t xml:space="preserve">comparing A and B </w:t>
      </w:r>
      <w:r w:rsidR="007A1898">
        <w:t>is not a critical problem. On the other hand, from an implementation point of view (both UE and eNB) it seems to use simpler to have a fixed time rather than a time depending on scheduling so A would be simpler so we therefore prefer A</w:t>
      </w:r>
      <w:r w:rsidR="007E14F7">
        <w:t xml:space="preserve">. </w:t>
      </w:r>
    </w:p>
    <w:p w14:paraId="36CED70B" w14:textId="37D986C4" w:rsidR="007A1898" w:rsidRPr="007A1898" w:rsidRDefault="007A1898" w:rsidP="007A1898">
      <w:pPr>
        <w:pStyle w:val="Proposal"/>
      </w:pPr>
      <w:bookmarkStart w:id="2" w:name="_Hlk506226055"/>
      <w:r>
        <w:t xml:space="preserve">The UE falls back to the longer periodicity </w:t>
      </w:r>
      <w:r w:rsidR="009801DA">
        <w:t>a fixed time after activation (e.g. after the max</w:t>
      </w:r>
      <w:r>
        <w:t xml:space="preserve"> activation time (24/34 ms)</w:t>
      </w:r>
      <w:r w:rsidR="009801DA">
        <w:t>)</w:t>
      </w:r>
      <w:r w:rsidR="00B37AB7">
        <w:t>.</w:t>
      </w:r>
    </w:p>
    <w:bookmarkEnd w:id="2"/>
    <w:p w14:paraId="6D426F03" w14:textId="0EDDAC42" w:rsidR="00C01F33" w:rsidRPr="00CE0424" w:rsidRDefault="00C01F33" w:rsidP="00CE0424">
      <w:pPr>
        <w:pStyle w:val="Heading1"/>
      </w:pPr>
      <w:r w:rsidRPr="00CE0424">
        <w:t>Conclusion</w:t>
      </w:r>
    </w:p>
    <w:p w14:paraId="266FF30A" w14:textId="7283F04E" w:rsidR="00AB0BC8" w:rsidRDefault="00814B39" w:rsidP="00814B39">
      <w:r>
        <w:t>We ask RAN2 to agree on the following:</w:t>
      </w:r>
    </w:p>
    <w:p w14:paraId="2AC3E22C" w14:textId="77777777" w:rsidR="009801DA" w:rsidRPr="007A1898" w:rsidRDefault="009801DA" w:rsidP="009801DA">
      <w:pPr>
        <w:pStyle w:val="Proposal"/>
        <w:numPr>
          <w:ilvl w:val="0"/>
          <w:numId w:val="39"/>
        </w:numPr>
      </w:pPr>
      <w:r>
        <w:t>The UE falls back to the longer periodicity a fixed time after activation (e.g. after the max activation time (24/34 ms)).</w:t>
      </w:r>
    </w:p>
    <w:p w14:paraId="4AA6D11A" w14:textId="77777777" w:rsidR="009801DA" w:rsidRDefault="009801DA" w:rsidP="00814B39"/>
    <w:p w14:paraId="62891BF1" w14:textId="77777777" w:rsidR="003A7EF3" w:rsidRPr="00CE0424" w:rsidRDefault="003A7EF3" w:rsidP="00CE0424">
      <w:pPr>
        <w:pStyle w:val="BodyText"/>
      </w:pPr>
      <w:bookmarkStart w:id="3" w:name="_In-sequence_SDU_delivery"/>
      <w:bookmarkEnd w:id="3"/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3F25AC" w14:textId="77777777" w:rsidR="00F96DDD" w:rsidRDefault="00F96DDD">
      <w:r>
        <w:separator/>
      </w:r>
    </w:p>
  </w:endnote>
  <w:endnote w:type="continuationSeparator" w:id="0">
    <w:p w14:paraId="27DE4757" w14:textId="77777777" w:rsidR="00F96DDD" w:rsidRDefault="00F96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DF76C" w14:textId="3E690984" w:rsidR="00531C26" w:rsidRDefault="00531C2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C7B0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C7B0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95BC3" w14:textId="77777777" w:rsidR="00F96DDD" w:rsidRDefault="00F96DDD">
      <w:r>
        <w:separator/>
      </w:r>
    </w:p>
  </w:footnote>
  <w:footnote w:type="continuationSeparator" w:id="0">
    <w:p w14:paraId="3A4C742D" w14:textId="77777777" w:rsidR="00F96DDD" w:rsidRDefault="00F96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EF92F" w14:textId="77777777" w:rsidR="00531C26" w:rsidRDefault="00531C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C8C04DE"/>
    <w:multiLevelType w:val="hybridMultilevel"/>
    <w:tmpl w:val="AAE2502A"/>
    <w:lvl w:ilvl="0" w:tplc="9A0896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F4E16"/>
    <w:multiLevelType w:val="hybridMultilevel"/>
    <w:tmpl w:val="B55063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57D07"/>
    <w:multiLevelType w:val="hybridMultilevel"/>
    <w:tmpl w:val="B1D01D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B0C88"/>
    <w:multiLevelType w:val="hybridMultilevel"/>
    <w:tmpl w:val="FD125F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8573BC"/>
    <w:multiLevelType w:val="hybridMultilevel"/>
    <w:tmpl w:val="9C40C7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EB3810"/>
    <w:multiLevelType w:val="hybridMultilevel"/>
    <w:tmpl w:val="460C880E"/>
    <w:lvl w:ilvl="0" w:tplc="163C6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D7755E"/>
    <w:multiLevelType w:val="hybridMultilevel"/>
    <w:tmpl w:val="5E26546C"/>
    <w:lvl w:ilvl="0" w:tplc="1BC247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044627"/>
    <w:multiLevelType w:val="hybridMultilevel"/>
    <w:tmpl w:val="FD564E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3A2E8A"/>
    <w:multiLevelType w:val="hybridMultilevel"/>
    <w:tmpl w:val="518494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D8359B"/>
    <w:multiLevelType w:val="hybridMultilevel"/>
    <w:tmpl w:val="6EC88C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61F02"/>
    <w:multiLevelType w:val="hybridMultilevel"/>
    <w:tmpl w:val="7E6A1C72"/>
    <w:lvl w:ilvl="0" w:tplc="1BC247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D63199"/>
    <w:multiLevelType w:val="hybridMultilevel"/>
    <w:tmpl w:val="082281D2"/>
    <w:lvl w:ilvl="0" w:tplc="C5C6BF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4AAE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A89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0453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707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3C5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AD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EAC4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C2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BC7D79"/>
    <w:multiLevelType w:val="hybridMultilevel"/>
    <w:tmpl w:val="A04874A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A31D21"/>
    <w:multiLevelType w:val="hybridMultilevel"/>
    <w:tmpl w:val="9AE48308"/>
    <w:lvl w:ilvl="0" w:tplc="4E4C3E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2F7EDB"/>
    <w:multiLevelType w:val="hybridMultilevel"/>
    <w:tmpl w:val="B1D01D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9B04A5"/>
    <w:multiLevelType w:val="hybridMultilevel"/>
    <w:tmpl w:val="B55063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545C4E"/>
    <w:multiLevelType w:val="hybridMultilevel"/>
    <w:tmpl w:val="C8BECBF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4869C6"/>
    <w:multiLevelType w:val="hybridMultilevel"/>
    <w:tmpl w:val="01404548"/>
    <w:lvl w:ilvl="0" w:tplc="C44AE4CC">
      <w:start w:val="1"/>
      <w:numFmt w:val="decimal"/>
      <w:lvlText w:val="Proposal %1."/>
      <w:lvlJc w:val="left"/>
      <w:pPr>
        <w:ind w:left="990" w:hanging="360"/>
      </w:pPr>
      <w:rPr>
        <w:rFonts w:hint="default"/>
        <w:b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20"/>
  </w:num>
  <w:num w:numId="4">
    <w:abstractNumId w:val="21"/>
  </w:num>
  <w:num w:numId="5">
    <w:abstractNumId w:val="17"/>
  </w:num>
  <w:num w:numId="6">
    <w:abstractNumId w:val="22"/>
  </w:num>
  <w:num w:numId="7">
    <w:abstractNumId w:val="28"/>
  </w:num>
  <w:num w:numId="8">
    <w:abstractNumId w:val="18"/>
  </w:num>
  <w:num w:numId="9">
    <w:abstractNumId w:val="14"/>
  </w:num>
  <w:num w:numId="10">
    <w:abstractNumId w:val="3"/>
  </w:num>
  <w:num w:numId="11">
    <w:abstractNumId w:val="2"/>
  </w:num>
  <w:num w:numId="12">
    <w:abstractNumId w:val="1"/>
  </w:num>
  <w:num w:numId="13">
    <w:abstractNumId w:val="26"/>
  </w:num>
  <w:num w:numId="14">
    <w:abstractNumId w:val="0"/>
  </w:num>
  <w:num w:numId="15">
    <w:abstractNumId w:val="30"/>
  </w:num>
  <w:num w:numId="16">
    <w:abstractNumId w:val="9"/>
  </w:num>
  <w:num w:numId="17">
    <w:abstractNumId w:val="15"/>
  </w:num>
  <w:num w:numId="18">
    <w:abstractNumId w:val="8"/>
  </w:num>
  <w:num w:numId="19">
    <w:abstractNumId w:val="23"/>
  </w:num>
  <w:num w:numId="20">
    <w:abstractNumId w:val="12"/>
  </w:num>
  <w:num w:numId="21">
    <w:abstractNumId w:val="6"/>
  </w:num>
  <w:num w:numId="22">
    <w:abstractNumId w:val="11"/>
  </w:num>
  <w:num w:numId="23">
    <w:abstractNumId w:val="16"/>
  </w:num>
  <w:num w:numId="24">
    <w:abstractNumId w:val="7"/>
  </w:num>
  <w:num w:numId="25">
    <w:abstractNumId w:val="29"/>
  </w:num>
  <w:num w:numId="26">
    <w:abstractNumId w:val="13"/>
  </w:num>
  <w:num w:numId="27">
    <w:abstractNumId w:val="19"/>
  </w:num>
  <w:num w:numId="28">
    <w:abstractNumId w:val="25"/>
  </w:num>
  <w:num w:numId="29">
    <w:abstractNumId w:val="32"/>
  </w:num>
  <w:num w:numId="30">
    <w:abstractNumId w:val="33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0"/>
  </w:num>
  <w:num w:numId="35">
    <w:abstractNumId w:val="27"/>
  </w:num>
  <w:num w:numId="36">
    <w:abstractNumId w:val="20"/>
    <w:lvlOverride w:ilvl="0">
      <w:startOverride w:val="1"/>
    </w:lvlOverride>
  </w:num>
  <w:num w:numId="37">
    <w:abstractNumId w:val="31"/>
  </w:num>
  <w:num w:numId="38">
    <w:abstractNumId w:val="20"/>
    <w:lvlOverride w:ilvl="0">
      <w:startOverride w:val="1"/>
    </w:lvlOverride>
  </w:num>
  <w:num w:numId="39">
    <w:abstractNumId w:val="20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C5B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247"/>
    <w:rsid w:val="00034C15"/>
    <w:rsid w:val="00036BA1"/>
    <w:rsid w:val="000422E2"/>
    <w:rsid w:val="00042F22"/>
    <w:rsid w:val="000444EF"/>
    <w:rsid w:val="0004798D"/>
    <w:rsid w:val="0005071B"/>
    <w:rsid w:val="00052A07"/>
    <w:rsid w:val="000534E3"/>
    <w:rsid w:val="00055AA3"/>
    <w:rsid w:val="0005606A"/>
    <w:rsid w:val="00057117"/>
    <w:rsid w:val="000616E7"/>
    <w:rsid w:val="0006487E"/>
    <w:rsid w:val="00065E1A"/>
    <w:rsid w:val="00073176"/>
    <w:rsid w:val="00076600"/>
    <w:rsid w:val="00077E5F"/>
    <w:rsid w:val="0008036A"/>
    <w:rsid w:val="00081AE6"/>
    <w:rsid w:val="00083FB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AA6"/>
    <w:rsid w:val="000D0D07"/>
    <w:rsid w:val="000D2B13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159B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4D5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0E8D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0872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0AE3"/>
    <w:rsid w:val="00492BC5"/>
    <w:rsid w:val="0049501C"/>
    <w:rsid w:val="004964F1"/>
    <w:rsid w:val="004A16BC"/>
    <w:rsid w:val="004A2B94"/>
    <w:rsid w:val="004A73D8"/>
    <w:rsid w:val="004B7C0C"/>
    <w:rsid w:val="004C1A9D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39F3"/>
    <w:rsid w:val="00506557"/>
    <w:rsid w:val="0050677A"/>
    <w:rsid w:val="005108D8"/>
    <w:rsid w:val="005116F9"/>
    <w:rsid w:val="005153A7"/>
    <w:rsid w:val="005219CF"/>
    <w:rsid w:val="00531C26"/>
    <w:rsid w:val="005348C7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C7B09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3CF"/>
    <w:rsid w:val="00695FC2"/>
    <w:rsid w:val="00696949"/>
    <w:rsid w:val="00696B65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37BD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D89"/>
    <w:rsid w:val="00747D8B"/>
    <w:rsid w:val="0075029F"/>
    <w:rsid w:val="00751228"/>
    <w:rsid w:val="0075131F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898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C7B58"/>
    <w:rsid w:val="007D04E5"/>
    <w:rsid w:val="007D5901"/>
    <w:rsid w:val="007D7526"/>
    <w:rsid w:val="007E14F7"/>
    <w:rsid w:val="007E4610"/>
    <w:rsid w:val="007E4715"/>
    <w:rsid w:val="007E505B"/>
    <w:rsid w:val="007E7091"/>
    <w:rsid w:val="00803FAE"/>
    <w:rsid w:val="0080605F"/>
    <w:rsid w:val="00807786"/>
    <w:rsid w:val="00811FCB"/>
    <w:rsid w:val="00814B39"/>
    <w:rsid w:val="008158D6"/>
    <w:rsid w:val="00817196"/>
    <w:rsid w:val="008215BA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4E58"/>
    <w:rsid w:val="008677FD"/>
    <w:rsid w:val="008706D4"/>
    <w:rsid w:val="00870F8A"/>
    <w:rsid w:val="008719A4"/>
    <w:rsid w:val="00871D23"/>
    <w:rsid w:val="0087321A"/>
    <w:rsid w:val="00874312"/>
    <w:rsid w:val="0087437C"/>
    <w:rsid w:val="00875CD7"/>
    <w:rsid w:val="00876B4D"/>
    <w:rsid w:val="00877F18"/>
    <w:rsid w:val="00885447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1E6C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1DA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6AA1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3666B"/>
    <w:rsid w:val="00A41E2B"/>
    <w:rsid w:val="00A45B74"/>
    <w:rsid w:val="00A52E1D"/>
    <w:rsid w:val="00A61499"/>
    <w:rsid w:val="00A621BF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77B3"/>
    <w:rsid w:val="00A92879"/>
    <w:rsid w:val="00A9442A"/>
    <w:rsid w:val="00AA016F"/>
    <w:rsid w:val="00AA1ED6"/>
    <w:rsid w:val="00AA51D6"/>
    <w:rsid w:val="00AA7077"/>
    <w:rsid w:val="00AB0BC8"/>
    <w:rsid w:val="00AB11CA"/>
    <w:rsid w:val="00AB14D9"/>
    <w:rsid w:val="00AB4AB8"/>
    <w:rsid w:val="00AB655E"/>
    <w:rsid w:val="00AC007F"/>
    <w:rsid w:val="00AC28D5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99E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37AB7"/>
    <w:rsid w:val="00B40445"/>
    <w:rsid w:val="00B41888"/>
    <w:rsid w:val="00B43C5B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319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22FD"/>
    <w:rsid w:val="00CE7561"/>
    <w:rsid w:val="00CF1354"/>
    <w:rsid w:val="00CF3B1F"/>
    <w:rsid w:val="00CF3BF6"/>
    <w:rsid w:val="00CF3EC6"/>
    <w:rsid w:val="00CF625B"/>
    <w:rsid w:val="00CF687E"/>
    <w:rsid w:val="00CF6976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1166"/>
    <w:rsid w:val="00D823C6"/>
    <w:rsid w:val="00D86CA3"/>
    <w:rsid w:val="00D871CE"/>
    <w:rsid w:val="00D9196D"/>
    <w:rsid w:val="00D92982"/>
    <w:rsid w:val="00D9752A"/>
    <w:rsid w:val="00DA305E"/>
    <w:rsid w:val="00DA5417"/>
    <w:rsid w:val="00DA56E8"/>
    <w:rsid w:val="00DB0A9F"/>
    <w:rsid w:val="00DB377D"/>
    <w:rsid w:val="00DC0A6B"/>
    <w:rsid w:val="00DC2D36"/>
    <w:rsid w:val="00DC4F82"/>
    <w:rsid w:val="00DC53EF"/>
    <w:rsid w:val="00DE5608"/>
    <w:rsid w:val="00DE58D0"/>
    <w:rsid w:val="00DE654F"/>
    <w:rsid w:val="00DE67B1"/>
    <w:rsid w:val="00DF0B6E"/>
    <w:rsid w:val="00DF15E0"/>
    <w:rsid w:val="00DF37A0"/>
    <w:rsid w:val="00DF5B2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36BE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5244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6DDD"/>
    <w:rsid w:val="00F97838"/>
    <w:rsid w:val="00FA2BB3"/>
    <w:rsid w:val="00FA7A17"/>
    <w:rsid w:val="00FB4C80"/>
    <w:rsid w:val="00FB5062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E19072"/>
  <w15:chartTrackingRefBased/>
  <w15:docId w15:val="{42B4CD5C-B3A8-47BC-98B6-F6E0843F6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9752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9752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9752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9752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9752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9752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9752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9752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9752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9752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9752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9752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9752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9752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9752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9752A"/>
    <w:pPr>
      <w:ind w:left="1418" w:hanging="1418"/>
    </w:pPr>
  </w:style>
  <w:style w:type="paragraph" w:styleId="TOC3">
    <w:name w:val="toc 3"/>
    <w:basedOn w:val="TOC2"/>
    <w:semiHidden/>
    <w:rsid w:val="00D9752A"/>
    <w:pPr>
      <w:ind w:left="1134" w:hanging="1134"/>
    </w:pPr>
  </w:style>
  <w:style w:type="paragraph" w:styleId="TOC2">
    <w:name w:val="toc 2"/>
    <w:basedOn w:val="TOC1"/>
    <w:semiHidden/>
    <w:rsid w:val="00D9752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9752A"/>
    <w:pPr>
      <w:ind w:left="284"/>
    </w:pPr>
  </w:style>
  <w:style w:type="paragraph" w:styleId="Index1">
    <w:name w:val="index 1"/>
    <w:basedOn w:val="Normal"/>
    <w:semiHidden/>
    <w:rsid w:val="00D9752A"/>
    <w:pPr>
      <w:keepLines/>
      <w:spacing w:after="0"/>
    </w:pPr>
  </w:style>
  <w:style w:type="paragraph" w:styleId="DocumentMap">
    <w:name w:val="Document Map"/>
    <w:basedOn w:val="Normal"/>
    <w:semiHidden/>
    <w:rsid w:val="00D9752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9752A"/>
    <w:pPr>
      <w:ind w:left="851"/>
    </w:pPr>
  </w:style>
  <w:style w:type="paragraph" w:styleId="ListNumber">
    <w:name w:val="List Number"/>
    <w:basedOn w:val="List"/>
    <w:rsid w:val="00D9752A"/>
  </w:style>
  <w:style w:type="paragraph" w:styleId="List">
    <w:name w:val="List"/>
    <w:basedOn w:val="Normal"/>
    <w:rsid w:val="00D9752A"/>
    <w:pPr>
      <w:ind w:left="568" w:hanging="284"/>
    </w:pPr>
  </w:style>
  <w:style w:type="paragraph" w:styleId="Header">
    <w:name w:val="header"/>
    <w:rsid w:val="00D9752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9752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9752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9752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9752A"/>
    <w:pPr>
      <w:ind w:left="1418" w:hanging="1418"/>
    </w:pPr>
  </w:style>
  <w:style w:type="paragraph" w:styleId="TOC6">
    <w:name w:val="toc 6"/>
    <w:basedOn w:val="TOC5"/>
    <w:next w:val="Normal"/>
    <w:semiHidden/>
    <w:rsid w:val="00D9752A"/>
    <w:pPr>
      <w:ind w:left="1985" w:hanging="1985"/>
    </w:pPr>
  </w:style>
  <w:style w:type="paragraph" w:styleId="TOC7">
    <w:name w:val="toc 7"/>
    <w:basedOn w:val="TOC6"/>
    <w:next w:val="Normal"/>
    <w:semiHidden/>
    <w:rsid w:val="00D9752A"/>
    <w:pPr>
      <w:ind w:left="2268" w:hanging="2268"/>
    </w:pPr>
  </w:style>
  <w:style w:type="paragraph" w:styleId="ListBullet2">
    <w:name w:val="List Bullet 2"/>
    <w:basedOn w:val="ListBullet"/>
    <w:rsid w:val="00D9752A"/>
    <w:pPr>
      <w:numPr>
        <w:numId w:val="6"/>
      </w:numPr>
    </w:pPr>
  </w:style>
  <w:style w:type="paragraph" w:styleId="ListBullet">
    <w:name w:val="List Bullet"/>
    <w:basedOn w:val="BodyText"/>
    <w:rsid w:val="00D9752A"/>
    <w:pPr>
      <w:numPr>
        <w:numId w:val="5"/>
      </w:numPr>
    </w:pPr>
  </w:style>
  <w:style w:type="paragraph" w:styleId="ListBullet3">
    <w:name w:val="List Bullet 3"/>
    <w:basedOn w:val="ListBullet2"/>
    <w:rsid w:val="00D9752A"/>
    <w:pPr>
      <w:numPr>
        <w:numId w:val="7"/>
      </w:numPr>
    </w:pPr>
  </w:style>
  <w:style w:type="paragraph" w:customStyle="1" w:styleId="EQ">
    <w:name w:val="EQ"/>
    <w:basedOn w:val="Normal"/>
    <w:next w:val="Normal"/>
    <w:rsid w:val="00D9752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9752A"/>
    <w:pPr>
      <w:ind w:left="851"/>
    </w:pPr>
  </w:style>
  <w:style w:type="paragraph" w:styleId="List3">
    <w:name w:val="List 3"/>
    <w:basedOn w:val="List2"/>
    <w:rsid w:val="00D9752A"/>
    <w:pPr>
      <w:ind w:left="1135"/>
    </w:pPr>
  </w:style>
  <w:style w:type="paragraph" w:styleId="List4">
    <w:name w:val="List 4"/>
    <w:basedOn w:val="List3"/>
    <w:rsid w:val="00D9752A"/>
    <w:pPr>
      <w:ind w:left="1418"/>
    </w:pPr>
  </w:style>
  <w:style w:type="paragraph" w:styleId="List5">
    <w:name w:val="List 5"/>
    <w:basedOn w:val="List4"/>
    <w:rsid w:val="00D9752A"/>
    <w:pPr>
      <w:ind w:left="1702"/>
    </w:pPr>
  </w:style>
  <w:style w:type="paragraph" w:customStyle="1" w:styleId="EditorsNote">
    <w:name w:val="Editor's Note"/>
    <w:basedOn w:val="Normal"/>
    <w:rsid w:val="00D9752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9752A"/>
    <w:pPr>
      <w:numPr>
        <w:numId w:val="8"/>
      </w:numPr>
    </w:pPr>
  </w:style>
  <w:style w:type="paragraph" w:styleId="ListBullet5">
    <w:name w:val="List Bullet 5"/>
    <w:basedOn w:val="ListBullet4"/>
    <w:rsid w:val="00D9752A"/>
    <w:pPr>
      <w:numPr>
        <w:numId w:val="4"/>
      </w:numPr>
    </w:pPr>
  </w:style>
  <w:style w:type="paragraph" w:styleId="Footer">
    <w:name w:val="footer"/>
    <w:basedOn w:val="Header"/>
    <w:semiHidden/>
    <w:rsid w:val="00D9752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9752A"/>
    <w:pPr>
      <w:numPr>
        <w:numId w:val="2"/>
      </w:numPr>
    </w:pPr>
  </w:style>
  <w:style w:type="paragraph" w:styleId="BalloonText">
    <w:name w:val="Balloon Text"/>
    <w:basedOn w:val="Normal"/>
    <w:semiHidden/>
    <w:rsid w:val="00D9752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9752A"/>
  </w:style>
  <w:style w:type="paragraph" w:styleId="BodyText">
    <w:name w:val="Body Text"/>
    <w:basedOn w:val="Normal"/>
    <w:link w:val="BodyTextChar"/>
    <w:rsid w:val="00D9752A"/>
  </w:style>
  <w:style w:type="character" w:styleId="Hyperlink">
    <w:name w:val="Hyperlink"/>
    <w:uiPriority w:val="99"/>
    <w:rsid w:val="00D9752A"/>
    <w:rPr>
      <w:color w:val="0000FF"/>
      <w:u w:val="single"/>
      <w:lang w:val="en-GB"/>
    </w:rPr>
  </w:style>
  <w:style w:type="character" w:styleId="FollowedHyperlink">
    <w:name w:val="FollowedHyperlink"/>
    <w:semiHidden/>
    <w:rsid w:val="00D9752A"/>
    <w:rPr>
      <w:color w:val="FF0000"/>
      <w:u w:val="single"/>
    </w:rPr>
  </w:style>
  <w:style w:type="character" w:styleId="CommentReference">
    <w:name w:val="annotation reference"/>
    <w:semiHidden/>
    <w:rsid w:val="00D9752A"/>
    <w:rPr>
      <w:sz w:val="16"/>
      <w:szCs w:val="16"/>
    </w:rPr>
  </w:style>
  <w:style w:type="paragraph" w:styleId="CommentText">
    <w:name w:val="annotation text"/>
    <w:basedOn w:val="Normal"/>
    <w:semiHidden/>
    <w:rsid w:val="00D9752A"/>
  </w:style>
  <w:style w:type="paragraph" w:styleId="CommentSubject">
    <w:name w:val="annotation subject"/>
    <w:basedOn w:val="CommentText"/>
    <w:next w:val="CommentText"/>
    <w:semiHidden/>
    <w:rsid w:val="00D9752A"/>
    <w:rPr>
      <w:b/>
      <w:bCs/>
    </w:rPr>
  </w:style>
  <w:style w:type="character" w:customStyle="1" w:styleId="Heading1Char">
    <w:name w:val="Heading 1 Char"/>
    <w:link w:val="Heading1"/>
    <w:rsid w:val="00D9752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D9752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D9752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D9752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9752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rsid w:val="00D9752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9752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9752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9752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9752A"/>
    <w:pPr>
      <w:spacing w:after="0"/>
    </w:pPr>
  </w:style>
  <w:style w:type="paragraph" w:customStyle="1" w:styleId="TAL">
    <w:name w:val="TAL"/>
    <w:basedOn w:val="Normal"/>
    <w:rsid w:val="00D9752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9752A"/>
    <w:pPr>
      <w:jc w:val="center"/>
    </w:pPr>
  </w:style>
  <w:style w:type="paragraph" w:customStyle="1" w:styleId="TAH">
    <w:name w:val="TAH"/>
    <w:basedOn w:val="TAC"/>
    <w:rsid w:val="00D9752A"/>
    <w:rPr>
      <w:b/>
    </w:rPr>
  </w:style>
  <w:style w:type="paragraph" w:customStyle="1" w:styleId="TAN">
    <w:name w:val="TAN"/>
    <w:basedOn w:val="TAL"/>
    <w:rsid w:val="00D9752A"/>
    <w:pPr>
      <w:ind w:left="851" w:hanging="851"/>
    </w:pPr>
  </w:style>
  <w:style w:type="paragraph" w:customStyle="1" w:styleId="TAR">
    <w:name w:val="TAR"/>
    <w:basedOn w:val="TAL"/>
    <w:rsid w:val="00D9752A"/>
    <w:pPr>
      <w:jc w:val="right"/>
    </w:pPr>
  </w:style>
  <w:style w:type="paragraph" w:customStyle="1" w:styleId="TH">
    <w:name w:val="TH"/>
    <w:basedOn w:val="Normal"/>
    <w:rsid w:val="00D9752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9752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9752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975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975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975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975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9752A"/>
  </w:style>
  <w:style w:type="paragraph" w:customStyle="1" w:styleId="ZH">
    <w:name w:val="ZH"/>
    <w:rsid w:val="00D975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975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9752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975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9752A"/>
    <w:pPr>
      <w:framePr w:wrap="notBeside" w:y="16161"/>
    </w:pPr>
  </w:style>
  <w:style w:type="paragraph" w:customStyle="1" w:styleId="FP">
    <w:name w:val="FP"/>
    <w:basedOn w:val="Normal"/>
    <w:rsid w:val="00D9752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9752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9752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D9752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9752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9A6AA1"/>
    <w:pPr>
      <w:ind w:left="720"/>
      <w:contextualSpacing/>
    </w:pPr>
  </w:style>
  <w:style w:type="character" w:customStyle="1" w:styleId="B1Char">
    <w:name w:val="B1 Char"/>
    <w:link w:val="B1"/>
    <w:rsid w:val="00EA5244"/>
    <w:rPr>
      <w:rFonts w:ascii="Arial" w:hAnsi="Arial"/>
      <w:lang w:val="en-GB"/>
    </w:rPr>
  </w:style>
  <w:style w:type="character" w:customStyle="1" w:styleId="B2Char">
    <w:name w:val="B2 Char"/>
    <w:link w:val="B2"/>
    <w:rsid w:val="00EA5244"/>
    <w:rPr>
      <w:rFonts w:ascii="Arial" w:hAnsi="Arial"/>
      <w:lang w:val="en-GB"/>
    </w:rPr>
  </w:style>
  <w:style w:type="character" w:customStyle="1" w:styleId="B3Char">
    <w:name w:val="B3 Char"/>
    <w:link w:val="B3"/>
    <w:rsid w:val="00EA5244"/>
    <w:rPr>
      <w:rFonts w:ascii="Arial" w:hAnsi="Arial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C33195"/>
    <w:rPr>
      <w:rFonts w:ascii="Arial" w:hAnsi="Arial"/>
      <w:b/>
      <w:bCs/>
      <w:lang w:val="en-GB" w:eastAsia="zh-CN"/>
    </w:rPr>
  </w:style>
  <w:style w:type="table" w:styleId="TableGrid">
    <w:name w:val="Table Grid"/>
    <w:basedOn w:val="TableNormal"/>
    <w:rsid w:val="00C3319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link w:val="Proposal"/>
    <w:rsid w:val="006C37BD"/>
    <w:rPr>
      <w:rFonts w:ascii="Arial" w:hAnsi="Arial"/>
      <w:b/>
      <w:bCs/>
      <w:lang w:val="en-GB" w:eastAsia="zh-CN"/>
    </w:rPr>
  </w:style>
  <w:style w:type="character" w:styleId="Mention">
    <w:name w:val="Mention"/>
    <w:basedOn w:val="DefaultParagraphFont"/>
    <w:uiPriority w:val="99"/>
    <w:semiHidden/>
    <w:unhideWhenUsed/>
    <w:rsid w:val="00480AE3"/>
    <w:rPr>
      <w:color w:val="2B579A"/>
      <w:shd w:val="clear" w:color="auto" w:fill="E6E6E6"/>
    </w:rPr>
  </w:style>
  <w:style w:type="character" w:customStyle="1" w:styleId="B1Char1">
    <w:name w:val="B1 Char1"/>
    <w:rsid w:val="00A621BF"/>
    <w:rPr>
      <w:rFonts w:eastAsia="Times New Roman"/>
    </w:rPr>
  </w:style>
  <w:style w:type="paragraph" w:customStyle="1" w:styleId="textintend2">
    <w:name w:val="text intend 2"/>
    <w:basedOn w:val="Normal"/>
    <w:rsid w:val="00A621BF"/>
    <w:pPr>
      <w:numPr>
        <w:numId w:val="30"/>
      </w:numPr>
    </w:pPr>
    <w:rPr>
      <w:rFonts w:ascii="Times New Roman" w:eastAsia="MS Mincho" w:hAnsi="Times New Roman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4892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Documents\SWEA\Prague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5NUHHDQN7SK2-1476151046-17873</_dlc_DocId>
    <_dlc_DocIdUrl xmlns="f166a696-7b5b-4ccd-9f0c-ffde0cceec81">
      <Url>https://ericsson.sharepoint.com/sites/star/_layouts/15/DocIdRedir.aspx?ID=5NUHHDQN7SK2-1476151046-17873</Url>
      <Description>5NUHHDQN7SK2-1476151046-17873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CC09D-9C54-4194-AD0D-533BF8E085B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95203CC-A532-4A06-95A0-AC71C35D7B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4.xml><?xml version="1.0" encoding="utf-8"?>
<ds:datastoreItem xmlns:ds="http://schemas.openxmlformats.org/officeDocument/2006/customXml" ds:itemID="{8207B61E-D645-48EC-B0CB-77263794672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8A9AED51-1E39-4141-9D31-845C20C3B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55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Ericsson; TDoc; 3GPP</cp:keywords>
  <cp:lastModifiedBy>Ericsson</cp:lastModifiedBy>
  <cp:revision>5</cp:revision>
  <cp:lastPrinted>2008-01-31T16:09:00Z</cp:lastPrinted>
  <dcterms:created xsi:type="dcterms:W3CDTF">2018-02-12T14:21:00Z</dcterms:created>
  <dcterms:modified xsi:type="dcterms:W3CDTF">2018-02-16T02:30:00Z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a50011d6-691c-4985-a842-d76848270888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